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1490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22 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</w:t>
      </w:r>
      <w:r>
        <w:rPr>
          <w:rFonts w:ascii="Times New Roman" w:eastAsia="Times New Roman" w:hAnsi="Times New Roman" w:cs="Times New Roman"/>
        </w:rPr>
        <w:t xml:space="preserve">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Орлова Александра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27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39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в </w:t>
      </w:r>
      <w:r>
        <w:rPr>
          <w:rStyle w:val="cat-UserDefinedgrp-40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Орлов А.В.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е по </w:t>
      </w:r>
      <w:r>
        <w:rPr>
          <w:rFonts w:ascii="Times New Roman" w:eastAsia="Times New Roman" w:hAnsi="Times New Roman" w:cs="Times New Roman"/>
        </w:rPr>
        <w:t>пр. Ленина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</w:rPr>
        <w:t xml:space="preserve"> г. 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>CHANGAN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ALSVIN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1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оборудован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Орлов А.В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Орлов А.В. вину не признал, пояснил, что действительно </w:t>
      </w:r>
      <w:r>
        <w:rPr>
          <w:rFonts w:ascii="Times New Roman" w:eastAsia="Times New Roman" w:hAnsi="Times New Roman" w:cs="Times New Roman"/>
        </w:rPr>
        <w:t xml:space="preserve">30.09.2025 в 22 час. 10 мин., </w:t>
      </w:r>
      <w:r>
        <w:rPr>
          <w:rFonts w:ascii="Times New Roman" w:eastAsia="Times New Roman" w:hAnsi="Times New Roman" w:cs="Times New Roman"/>
        </w:rPr>
        <w:t xml:space="preserve">находился </w:t>
      </w:r>
      <w:r>
        <w:rPr>
          <w:rFonts w:ascii="Times New Roman" w:eastAsia="Times New Roman" w:hAnsi="Times New Roman" w:cs="Times New Roman"/>
        </w:rPr>
        <w:t xml:space="preserve">на автодороге по пр. Ленина, д. 66 г. Сургута ХМАО-Югра, управлял транспортным средством </w:t>
      </w:r>
      <w:r>
        <w:rPr>
          <w:rFonts w:ascii="Times New Roman" w:eastAsia="Times New Roman" w:hAnsi="Times New Roman" w:cs="Times New Roman"/>
        </w:rPr>
        <w:t>CHANGAN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ALSVIN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При этом, умышленно, с целью сокрытия государственного регистрационного знака автомобиля какие-либо материалы (грязь, грунт) не наносил. Нарушение допущено в связи с тем, что автомобиль был загрязнен из-за нахождения на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уст</w:t>
      </w:r>
      <w:r>
        <w:rPr>
          <w:rFonts w:ascii="Times New Roman" w:eastAsia="Times New Roman" w:hAnsi="Times New Roman" w:cs="Times New Roman"/>
        </w:rPr>
        <w:t>ах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Орлов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30.09.2025 в 22 час. 10 мин., водитель </w:t>
      </w:r>
      <w:r>
        <w:rPr>
          <w:rFonts w:ascii="Times New Roman" w:eastAsia="Times New Roman" w:hAnsi="Times New Roman" w:cs="Times New Roman"/>
        </w:rPr>
        <w:t>Орлов А.В.</w:t>
      </w:r>
      <w:r>
        <w:rPr>
          <w:rFonts w:ascii="Times New Roman" w:eastAsia="Times New Roman" w:hAnsi="Times New Roman" w:cs="Times New Roman"/>
        </w:rPr>
        <w:t xml:space="preserve">, на автодороге по пр. Ленина, д. 66 г. Сургута ХМАО-Югра, 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>CHANGAN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ALSVIN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задний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что не связано с погодными условиями 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Орлов А.В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>CHANGAN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ALSVIN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не связано с погодными условиями 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ИДПС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30.09.2025 в 22 час. 10 мин., водитель </w:t>
      </w:r>
      <w:r>
        <w:rPr>
          <w:rFonts w:ascii="Times New Roman" w:eastAsia="Times New Roman" w:hAnsi="Times New Roman" w:cs="Times New Roman"/>
        </w:rPr>
        <w:t>Орлов А.В.</w:t>
      </w:r>
      <w:r>
        <w:rPr>
          <w:rFonts w:ascii="Times New Roman" w:eastAsia="Times New Roman" w:hAnsi="Times New Roman" w:cs="Times New Roman"/>
        </w:rPr>
        <w:t xml:space="preserve">, на автодороге по пр. Ленина, д. 66 г. Сургута ХМАО-Югра, 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>CHANGAN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ALSVIN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задний </w:t>
      </w:r>
      <w:r>
        <w:rPr>
          <w:rFonts w:ascii="Times New Roman" w:eastAsia="Times New Roman" w:hAnsi="Times New Roman" w:cs="Times New Roman"/>
        </w:rPr>
        <w:t>государственный регистрационный знак был загрязнен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определени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о передаче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карточка </w:t>
      </w:r>
      <w:r>
        <w:rPr>
          <w:rFonts w:ascii="Times New Roman" w:eastAsia="Times New Roman" w:hAnsi="Times New Roman" w:cs="Times New Roman"/>
        </w:rPr>
        <w:t xml:space="preserve">учета ТС;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 xml:space="preserve">; 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Орлова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Орлова Александра Валерьевича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РКЦ Ханты-Мансийск//УФК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503200</w:t>
      </w:r>
      <w:r>
        <w:rPr>
          <w:rFonts w:ascii="Times New Roman" w:eastAsia="Times New Roman" w:hAnsi="Times New Roman" w:cs="Times New Roman"/>
          <w:b/>
          <w:bCs/>
        </w:rPr>
        <w:t>20036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7">
    <w:name w:val="cat-UserDefined grp-36 rplc-7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1rplc-49">
    <w:name w:val="cat-UserDefined grp-41 rplc-49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